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1B" w:rsidRPr="00A9441B" w:rsidRDefault="00A9441B" w:rsidP="00A9441B">
      <w:pPr>
        <w:spacing w:after="200" w:line="240" w:lineRule="auto"/>
        <w:ind w:right="45"/>
        <w:jc w:val="both"/>
        <w:rPr>
          <w:rFonts w:ascii="Arial" w:eastAsia="Times New Roman" w:hAnsi="Arial" w:cs="Arial"/>
          <w:b/>
          <w:color w:val="000000"/>
          <w:szCs w:val="18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color w:val="00000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b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color w:val="000000"/>
          <w:szCs w:val="18"/>
          <w:lang w:eastAsia="en-GB"/>
        </w:rPr>
        <w:t>благостања</w:t>
      </w:r>
      <w:proofErr w:type="spellEnd"/>
      <w:r w:rsidRPr="00A9441B">
        <w:rPr>
          <w:rFonts w:ascii="Arial" w:eastAsia="Times New Roman" w:hAnsi="Arial" w:cs="Arial"/>
          <w:b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color w:val="000000"/>
          <w:szCs w:val="18"/>
          <w:lang w:eastAsia="en-GB"/>
        </w:rPr>
        <w:t>младих</w:t>
      </w:r>
      <w:proofErr w:type="spellEnd"/>
    </w:p>
    <w:p w:rsidR="00A9441B" w:rsidRPr="00A9441B" w:rsidRDefault="00A9441B" w:rsidP="00A9441B">
      <w:pPr>
        <w:spacing w:after="200" w:line="240" w:lineRule="auto"/>
        <w:ind w:right="45"/>
        <w:jc w:val="both"/>
        <w:rPr>
          <w:rFonts w:ascii="Arial" w:eastAsia="Times New Roman" w:hAnsi="Arial" w:cs="Arial"/>
          <w:sz w:val="32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благостања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свеобухватан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инструмент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развијен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оквиру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изградње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демографске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отпорности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којој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ради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Популациони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фонд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Уједињених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нација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који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такође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прати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промовише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благостање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Развијен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партнерству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Министарства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туризма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омладине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Популационог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фонда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Уједињених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нација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уз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сарадњу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Фондацијом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Ана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Владе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Дивац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овај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алат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омогућава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систематско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праћење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напретка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спровођењу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Стратегије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Републике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Србије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(2023–2030). </w:t>
      </w:r>
    </w:p>
    <w:p w:rsidR="00A9441B" w:rsidRPr="00A9441B" w:rsidRDefault="00A9441B" w:rsidP="00A9441B">
      <w:pPr>
        <w:spacing w:before="57" w:after="200" w:line="240" w:lineRule="auto"/>
        <w:ind w:right="45"/>
        <w:jc w:val="both"/>
        <w:rPr>
          <w:rFonts w:ascii="Arial" w:eastAsia="Times New Roman" w:hAnsi="Arial" w:cs="Arial"/>
          <w:sz w:val="32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као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алат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доприноси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креирању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политика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заснованих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подацима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унапређује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сарадњу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свих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субјеката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омладинске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политике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како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националном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тако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локалном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нивоу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Његова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сврха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кроз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јасно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дефинисане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показатеље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омогући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сагледавање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различитих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аспеката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квалитета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живота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као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што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су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омладински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рад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простори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волонтеризам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образовање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запошљавање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економско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осамостаљивање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безбедност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здравље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дигитална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писметност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заштита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животне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средине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друге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теме</w:t>
      </w:r>
      <w:proofErr w:type="spellEnd"/>
      <w:r w:rsidRPr="00A9441B">
        <w:rPr>
          <w:rFonts w:ascii="Arial" w:eastAsia="Times New Roman" w:hAnsi="Arial" w:cs="Arial"/>
          <w:color w:val="000000"/>
          <w:szCs w:val="18"/>
          <w:lang w:eastAsia="en-GB"/>
        </w:rPr>
        <w:t>.</w:t>
      </w:r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9441B" w:rsidRPr="00A9441B" w:rsidRDefault="00A9441B" w:rsidP="00A9441B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Kоме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благостања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користан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?</w:t>
      </w:r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n-GB"/>
        </w:rPr>
        <w:t>користан</w:t>
      </w:r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Министарства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институције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усклађивање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политика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оптимизацију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ресурса</w:t>
      </w:r>
      <w:proofErr w:type="spellEnd"/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Локалне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самоуправе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стратешко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планирање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интервенција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заснованих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подацима</w:t>
      </w:r>
      <w:proofErr w:type="spellEnd"/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активно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заговарање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промена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укључивање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доношење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одлука</w:t>
      </w:r>
      <w:proofErr w:type="spellEnd"/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Невладине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организације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планирање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конкретних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циљано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усмерених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активности</w:t>
      </w:r>
      <w:proofErr w:type="spellEnd"/>
    </w:p>
    <w:p w:rsidR="00A9441B" w:rsidRPr="00A9441B" w:rsidRDefault="00A9441B" w:rsidP="00A9441B">
      <w:pPr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Међународне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развојне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партнере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-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идентификовање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области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инвестирање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циљу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унапређења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положаја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sz w:val="20"/>
          <w:szCs w:val="20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A9441B" w:rsidRPr="00A9441B" w:rsidRDefault="00A9441B" w:rsidP="00A9441B">
      <w:pPr>
        <w:spacing w:before="57" w:after="0" w:line="240" w:lineRule="auto"/>
        <w:ind w:right="-15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Како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доприноси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праћењу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напретка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Стратегије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?</w:t>
      </w:r>
    </w:p>
    <w:p w:rsidR="00A9441B" w:rsidRPr="00A9441B" w:rsidRDefault="00A9441B" w:rsidP="00A94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9441B" w:rsidRPr="00A9441B" w:rsidRDefault="00A9441B" w:rsidP="00A9441B">
      <w:pPr>
        <w:spacing w:after="200" w:line="240" w:lineRule="auto"/>
        <w:ind w:right="-15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Национални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ниво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праћење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стратегије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циљева</w:t>
      </w:r>
      <w:proofErr w:type="spellEnd"/>
    </w:p>
    <w:p w:rsidR="00A9441B" w:rsidRPr="00A9441B" w:rsidRDefault="00A9441B" w:rsidP="00A9441B">
      <w:pPr>
        <w:spacing w:after="200" w:line="240" w:lineRule="auto"/>
        <w:ind w:right="-15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националном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нивоу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благостања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представља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референтну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тачку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праћење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напретка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спровођењу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Стратегије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усклађен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Циљевима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одрживог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развоја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Агендом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2030.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својих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6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стубова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108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индикатора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(103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квантитативна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5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квалитативних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),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осликава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општи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пет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посебних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циљева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Стратегије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Сваки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индикатор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повезан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најмање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циља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одрживог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развоја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а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неки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имају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директну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везу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попут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стопе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ризика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од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сиромаштва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или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социјалне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искључености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према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старости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полу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Подаци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израчунавање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Индекса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прикупљају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статистичких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административних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извора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као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кроз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истраживања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о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положају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Годишње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ажурирање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вредности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Индекса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омогућава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правовремено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идентификовање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изазова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дефинисање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приоритета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унапређење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живота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Србији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.</w:t>
      </w:r>
    </w:p>
    <w:p w:rsidR="00A9441B" w:rsidRPr="00A9441B" w:rsidRDefault="00A9441B" w:rsidP="00A9441B">
      <w:pPr>
        <w:spacing w:after="200" w:line="240" w:lineRule="auto"/>
        <w:ind w:right="-15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Локални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ниво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–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подршка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заједницама</w:t>
      </w:r>
      <w:proofErr w:type="spellEnd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b/>
          <w:bCs/>
          <w:color w:val="000000"/>
          <w:sz w:val="20"/>
          <w:szCs w:val="18"/>
          <w:lang w:eastAsia="en-GB"/>
        </w:rPr>
        <w:t>младима</w:t>
      </w:r>
      <w:proofErr w:type="spellEnd"/>
    </w:p>
    <w:p w:rsidR="00A9441B" w:rsidRPr="00A9441B" w:rsidRDefault="00A9441B" w:rsidP="00A9441B">
      <w:pPr>
        <w:spacing w:after="200" w:line="240" w:lineRule="auto"/>
        <w:ind w:right="-15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локалном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нивоу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98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индикатора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(92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квантитативна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6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квалитативних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),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представља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користан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алат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јединице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локалних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самоуправа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организације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цивилног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друштва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пружајући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дубљи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увид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специфичне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потребе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њиховим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заједницама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Канцеларије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савети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могу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користе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податке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креирање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циљаних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програма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стратегија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акционих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планова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циљу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изградње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безбедних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доступних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простора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где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реализују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програми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неформалног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образовања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Транспарентност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података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могућност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поређења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између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општина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доприносе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размени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добрих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пракси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Подаци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локални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ниво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прикупљају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статистичких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извора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истраживања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положаја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потреба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административних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извора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који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укључују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канцеларије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јединце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локалних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самоуправа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.</w:t>
      </w:r>
    </w:p>
    <w:p w:rsidR="00A9441B" w:rsidRPr="00A9441B" w:rsidRDefault="00A9441B" w:rsidP="00A9441B">
      <w:pPr>
        <w:spacing w:after="0" w:line="240" w:lineRule="auto"/>
        <w:ind w:right="-15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Зашто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је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важан</w:t>
      </w:r>
      <w:proofErr w:type="spellEnd"/>
      <w:r w:rsidRPr="00A9441B">
        <w:rPr>
          <w:rFonts w:ascii="Arial" w:eastAsia="Times New Roman" w:hAnsi="Arial" w:cs="Arial"/>
          <w:b/>
          <w:sz w:val="20"/>
          <w:szCs w:val="20"/>
          <w:lang w:eastAsia="en-GB"/>
        </w:rPr>
        <w:t>?</w:t>
      </w:r>
    </w:p>
    <w:p w:rsidR="00A9441B" w:rsidRPr="00A9441B" w:rsidRDefault="00A9441B" w:rsidP="00A9441B">
      <w:pPr>
        <w:spacing w:before="57" w:after="200" w:line="240" w:lineRule="auto"/>
        <w:ind w:right="-15"/>
        <w:jc w:val="both"/>
        <w:rPr>
          <w:rFonts w:ascii="Arial" w:eastAsia="Times New Roman" w:hAnsi="Arial" w:cs="Arial"/>
          <w:color w:val="000000"/>
          <w:sz w:val="20"/>
          <w:szCs w:val="18"/>
          <w:lang w:eastAsia="en-GB"/>
        </w:rPr>
      </w:pP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lastRenderedPageBreak/>
        <w:t>Индекс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благостања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није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само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алат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праћење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већ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покретач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промена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.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Он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подстиче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транспарентност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одговорност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учешће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младих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креирању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мера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одлука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,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омогућавајући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им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да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остваре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свој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потенцијал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и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допринесу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заједници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у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којој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 xml:space="preserve"> </w:t>
      </w:r>
      <w:proofErr w:type="spellStart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живе</w:t>
      </w:r>
      <w:proofErr w:type="spellEnd"/>
      <w:r w:rsidRPr="00A9441B">
        <w:rPr>
          <w:rFonts w:ascii="Arial" w:eastAsia="Times New Roman" w:hAnsi="Arial" w:cs="Arial"/>
          <w:color w:val="000000"/>
          <w:sz w:val="20"/>
          <w:szCs w:val="18"/>
          <w:lang w:eastAsia="en-GB"/>
        </w:rPr>
        <w:t>.</w:t>
      </w:r>
    </w:p>
    <w:p w:rsidR="00A9441B" w:rsidRPr="008F34AD" w:rsidRDefault="00A9441B" w:rsidP="00A9441B">
      <w:pPr>
        <w:spacing w:before="57" w:after="200" w:line="240" w:lineRule="auto"/>
        <w:ind w:right="-15"/>
        <w:jc w:val="both"/>
        <w:rPr>
          <w:rFonts w:ascii="Arial" w:eastAsia="Times New Roman" w:hAnsi="Arial" w:cs="Arial"/>
          <w:b/>
          <w:sz w:val="20"/>
          <w:szCs w:val="24"/>
          <w:lang w:val="sr-Cyrl-RS" w:eastAsia="en-GB"/>
        </w:rPr>
      </w:pPr>
      <w:r w:rsidRPr="008F34AD">
        <w:rPr>
          <w:rFonts w:ascii="Arial" w:eastAsia="Times New Roman" w:hAnsi="Arial" w:cs="Arial"/>
          <w:b/>
          <w:sz w:val="20"/>
          <w:szCs w:val="24"/>
          <w:lang w:val="sr-Cyrl-RS" w:eastAsia="en-GB"/>
        </w:rPr>
        <w:t>Преузмите:</w:t>
      </w:r>
    </w:p>
    <w:p w:rsidR="00A9441B" w:rsidRPr="008F34AD" w:rsidRDefault="00A9441B" w:rsidP="00A9441B">
      <w:pPr>
        <w:pStyle w:val="ListParagraph"/>
        <w:numPr>
          <w:ilvl w:val="0"/>
          <w:numId w:val="2"/>
        </w:numPr>
        <w:spacing w:before="57" w:after="200" w:line="240" w:lineRule="auto"/>
        <w:ind w:right="-15"/>
        <w:jc w:val="both"/>
        <w:rPr>
          <w:rFonts w:ascii="Arial" w:eastAsia="Times New Roman" w:hAnsi="Arial" w:cs="Arial"/>
          <w:sz w:val="20"/>
          <w:szCs w:val="24"/>
          <w:lang w:val="sr-Cyrl-RS" w:eastAsia="en-GB"/>
        </w:rPr>
      </w:pP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>Табела Индекса благостања младих за 2023. годину – национални ниво</w:t>
      </w:r>
    </w:p>
    <w:p w:rsidR="00A9441B" w:rsidRPr="008F34AD" w:rsidRDefault="00A9441B" w:rsidP="00A9441B">
      <w:pPr>
        <w:pStyle w:val="ListParagraph"/>
        <w:numPr>
          <w:ilvl w:val="0"/>
          <w:numId w:val="2"/>
        </w:numPr>
        <w:spacing w:before="57" w:after="200" w:line="240" w:lineRule="auto"/>
        <w:ind w:right="-15"/>
        <w:jc w:val="both"/>
        <w:rPr>
          <w:rFonts w:ascii="Arial" w:eastAsia="Times New Roman" w:hAnsi="Arial" w:cs="Arial"/>
          <w:sz w:val="20"/>
          <w:szCs w:val="24"/>
          <w:lang w:val="sr-Cyrl-RS" w:eastAsia="en-GB"/>
        </w:rPr>
      </w:pP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>Водич кроз Индекс благостања младих</w:t>
      </w:r>
    </w:p>
    <w:p w:rsidR="00A9441B" w:rsidRPr="008F34AD" w:rsidRDefault="00A9441B" w:rsidP="00A9441B">
      <w:pPr>
        <w:pStyle w:val="ListParagraph"/>
        <w:numPr>
          <w:ilvl w:val="0"/>
          <w:numId w:val="2"/>
        </w:numPr>
        <w:spacing w:before="57" w:after="200" w:line="240" w:lineRule="auto"/>
        <w:ind w:right="-15"/>
        <w:jc w:val="both"/>
        <w:rPr>
          <w:rFonts w:ascii="Arial" w:eastAsia="Times New Roman" w:hAnsi="Arial" w:cs="Arial"/>
          <w:sz w:val="20"/>
          <w:szCs w:val="24"/>
          <w:lang w:val="sr-Cyrl-RS" w:eastAsia="en-GB"/>
        </w:rPr>
      </w:pP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 xml:space="preserve">Анекс </w:t>
      </w: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>Водич</w:t>
      </w: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>а</w:t>
      </w: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 xml:space="preserve"> кроз Индекс благостања младих</w:t>
      </w:r>
      <w:r w:rsidRPr="008F34AD">
        <w:rPr>
          <w:rFonts w:ascii="Arial" w:eastAsia="Times New Roman" w:hAnsi="Arial" w:cs="Arial"/>
          <w:sz w:val="20"/>
          <w:szCs w:val="24"/>
          <w:lang w:val="sr-Cyrl-RS" w:eastAsia="en-GB"/>
        </w:rPr>
        <w:t xml:space="preserve"> – стандардни описи индикатора за национали ниво</w:t>
      </w:r>
    </w:p>
    <w:p w:rsidR="00A9441B" w:rsidRPr="00A9441B" w:rsidRDefault="00A9441B" w:rsidP="00A9441B">
      <w:pPr>
        <w:pStyle w:val="ListParagraph"/>
        <w:spacing w:before="57" w:after="20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0455B1" w:rsidRDefault="000455B1">
      <w:bookmarkStart w:id="0" w:name="_GoBack"/>
      <w:bookmarkEnd w:id="0"/>
    </w:p>
    <w:sectPr w:rsidR="00045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A0B"/>
    <w:multiLevelType w:val="multilevel"/>
    <w:tmpl w:val="8028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1158E"/>
    <w:multiLevelType w:val="hybridMultilevel"/>
    <w:tmpl w:val="B7D4D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1B"/>
    <w:rsid w:val="000455B1"/>
    <w:rsid w:val="00473F15"/>
    <w:rsid w:val="008F34AD"/>
    <w:rsid w:val="00A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9CF8"/>
  <w15:chartTrackingRefBased/>
  <w15:docId w15:val="{CF24A28C-CE6E-4503-9CFA-D673C24F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Mitkovski</dc:creator>
  <cp:keywords/>
  <dc:description/>
  <cp:lastModifiedBy>Zeljko Mitkovski</cp:lastModifiedBy>
  <cp:revision>2</cp:revision>
  <dcterms:created xsi:type="dcterms:W3CDTF">2024-12-13T07:19:00Z</dcterms:created>
  <dcterms:modified xsi:type="dcterms:W3CDTF">2024-12-13T07:25:00Z</dcterms:modified>
</cp:coreProperties>
</file>